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Website Design Requirements for Deltalyfe</w:t>
      </w:r>
    </w:p>
    <w:p w:rsidR="00000000" w:rsidDel="00000000" w:rsidP="00000000" w:rsidRDefault="00000000" w:rsidRPr="00000000" w14:paraId="00000002">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1. Home page Hero Section</w:t>
      </w:r>
    </w:p>
    <w:p w:rsidR="00000000" w:rsidDel="00000000" w:rsidP="00000000" w:rsidRDefault="00000000" w:rsidRPr="00000000" w14:paraId="00000003">
      <w:pPr>
        <w:numPr>
          <w:ilvl w:val="0"/>
          <w:numId w:val="10"/>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Emphasize the company's focus on innovation, simplification, digital transformation and creative solutions helping Private Equity capture and create greater value (higher EBITDA).</w:t>
      </w:r>
    </w:p>
    <w:p w:rsidR="00000000" w:rsidDel="00000000" w:rsidP="00000000" w:rsidRDefault="00000000" w:rsidRPr="00000000" w14:paraId="00000004">
      <w:pPr>
        <w:numPr>
          <w:ilvl w:val="0"/>
          <w:numId w:val="10"/>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Tagline: "Seeing IT Differently: Visualizing Outcomes with a Positive and Collaborative Mindset."</w:t>
      </w:r>
    </w:p>
    <w:p w:rsidR="00000000" w:rsidDel="00000000" w:rsidP="00000000" w:rsidRDefault="00000000" w:rsidRPr="00000000" w14:paraId="00000005">
      <w:pPr>
        <w:numPr>
          <w:ilvl w:val="0"/>
          <w:numId w:val="10"/>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Unleash your Potential</w:t>
      </w:r>
    </w:p>
    <w:p w:rsidR="00000000" w:rsidDel="00000000" w:rsidP="00000000" w:rsidRDefault="00000000" w:rsidRPr="00000000" w14:paraId="00000006">
      <w:pPr>
        <w:numPr>
          <w:ilvl w:val="0"/>
          <w:numId w:val="10"/>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When was your last Alignment?</w:t>
      </w:r>
    </w:p>
    <w:p w:rsidR="00000000" w:rsidDel="00000000" w:rsidP="00000000" w:rsidRDefault="00000000" w:rsidRPr="00000000" w14:paraId="00000007">
      <w:pPr>
        <w:numPr>
          <w:ilvl w:val="0"/>
          <w:numId w:val="10"/>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Where does your business desire to go next?</w:t>
      </w:r>
    </w:p>
    <w:p w:rsidR="00000000" w:rsidDel="00000000" w:rsidP="00000000" w:rsidRDefault="00000000" w:rsidRPr="00000000" w14:paraId="00000008">
      <w:pPr>
        <w:rPr>
          <w:rFonts w:ascii="Roboto" w:cs="Roboto" w:eastAsia="Roboto" w:hAnsi="Roboto"/>
          <w:color w:val="13343b"/>
          <w:sz w:val="24"/>
          <w:szCs w:val="24"/>
        </w:rPr>
      </w:pPr>
      <w:r w:rsidDel="00000000" w:rsidR="00000000" w:rsidRPr="00000000">
        <w:rPr>
          <w:rFonts w:ascii="Roboto" w:cs="Roboto" w:eastAsia="Roboto" w:hAnsi="Roboto"/>
          <w:color w:val="13343b"/>
          <w:sz w:val="24"/>
          <w:szCs w:val="24"/>
          <w:rtl w:val="0"/>
        </w:rPr>
        <w:t xml:space="preserve">Page 2 should highlight firms focus on Private Equity  -- I have included details below to be included on PRIVATE EQUITY SOLUTIONS</w:t>
      </w:r>
    </w:p>
    <w:p w:rsidR="00000000" w:rsidDel="00000000" w:rsidP="00000000" w:rsidRDefault="00000000" w:rsidRPr="00000000" w14:paraId="00000009">
      <w:pPr>
        <w:rPr>
          <w:rFonts w:ascii="Roboto" w:cs="Roboto" w:eastAsia="Roboto" w:hAnsi="Roboto"/>
          <w:color w:val="13343b"/>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Technical due diligence empowers Private Equity and Venture Capital decision makers by providing a comprehensive 360-degree assessment of people, processes, and technology to identify investments that drive growth and organizational value. The assessment equips organizations with strategic and operational improvements necessary to protect investments and create value. Key capabilities include:</w:t>
      </w:r>
    </w:p>
    <w:p w:rsidR="00000000" w:rsidDel="00000000" w:rsidP="00000000" w:rsidRDefault="00000000" w:rsidRPr="00000000" w14:paraId="0000000B">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Identification of legacy and obsolescence issues requiring attention.</w:t>
      </w:r>
    </w:p>
    <w:p w:rsidR="00000000" w:rsidDel="00000000" w:rsidP="00000000" w:rsidRDefault="00000000" w:rsidRPr="00000000" w14:paraId="0000000C">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Software scalability to meet growth objectives.</w:t>
      </w:r>
    </w:p>
    <w:p w:rsidR="00000000" w:rsidDel="00000000" w:rsidP="00000000" w:rsidRDefault="00000000" w:rsidRPr="00000000" w14:paraId="0000000D">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Team efficiency and productivity improvements to enhance workflow.</w:t>
      </w:r>
    </w:p>
    <w:p w:rsidR="00000000" w:rsidDel="00000000" w:rsidP="00000000" w:rsidRDefault="00000000" w:rsidRPr="00000000" w14:paraId="0000000E">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Open source exposure to reduce deployment costs.</w:t>
      </w:r>
    </w:p>
    <w:p w:rsidR="00000000" w:rsidDel="00000000" w:rsidP="00000000" w:rsidRDefault="00000000" w:rsidRPr="00000000" w14:paraId="0000000F">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Acquisition integration plan to unify teams and processes.</w:t>
      </w:r>
    </w:p>
    <w:p w:rsidR="00000000" w:rsidDel="00000000" w:rsidP="00000000" w:rsidRDefault="00000000" w:rsidRPr="00000000" w14:paraId="00000010">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IT due diligence to analyze enterprise systems for risk and compliance at deal-speed.</w:t>
      </w:r>
    </w:p>
    <w:p w:rsidR="00000000" w:rsidDel="00000000" w:rsidP="00000000" w:rsidRDefault="00000000" w:rsidRPr="00000000" w14:paraId="00000011">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Utilization of the TechIndicators® platform for objective technology benchmarking to evaluate enterprise software and IT functionality.</w:t>
      </w:r>
    </w:p>
    <w:p w:rsidR="00000000" w:rsidDel="00000000" w:rsidP="00000000" w:rsidRDefault="00000000" w:rsidRPr="00000000" w14:paraId="00000012">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Self-guided or guided assessments for productive evaluation.</w:t>
      </w:r>
    </w:p>
    <w:p w:rsidR="00000000" w:rsidDel="00000000" w:rsidP="00000000" w:rsidRDefault="00000000" w:rsidRPr="00000000" w14:paraId="00000013">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Objective benchmarking to assess and minimize risk.</w:t>
      </w:r>
    </w:p>
    <w:p w:rsidR="00000000" w:rsidDel="00000000" w:rsidP="00000000" w:rsidRDefault="00000000" w:rsidRPr="00000000" w14:paraId="00000014">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Real-time insights regarding technology risk and compliance.</w:t>
      </w:r>
    </w:p>
    <w:p w:rsidR="00000000" w:rsidDel="00000000" w:rsidP="00000000" w:rsidRDefault="00000000" w:rsidRPr="00000000" w14:paraId="00000015">
      <w:pPr>
        <w:numPr>
          <w:ilvl w:val="0"/>
          <w:numId w:val="5"/>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Acquisition integration plan to unify teams and processes.</w:t>
      </w:r>
    </w:p>
    <w:p w:rsidR="00000000" w:rsidDel="00000000" w:rsidP="00000000" w:rsidRDefault="00000000" w:rsidRPr="00000000" w14:paraId="00000016">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The next steps involve facilitating communication, collaboration, and creative solutioning while mitigating risk and ensuring business continuity. This includes creating a centralized repository of IT documentation, developing a weekly update format for visibility and collaboration, identifying gaps and risks, and creating an IT roadmap for projects, training, and business continuity. Additionally, actively mentoring and coaching team members, introducing methods/tools to facilitate collaboration, and aligning/accountability/active solutioning are essential. The technical due diligence also addresses pending projects, resource challenges, and burn-out risks, ensuring a positive, engaged, and transparent communication style.</w:t>
      </w:r>
    </w:p>
    <w:p w:rsidR="00000000" w:rsidDel="00000000" w:rsidP="00000000" w:rsidRDefault="00000000" w:rsidRPr="00000000" w14:paraId="00000017">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18">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PAGE 3 :  Dedicated page for CRM -- Unique SaaS solution to facilitate customer acquisition and engagement</w:t>
      </w:r>
    </w:p>
    <w:p w:rsidR="00000000" w:rsidDel="00000000" w:rsidP="00000000" w:rsidRDefault="00000000" w:rsidRPr="00000000" w14:paraId="00000019">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Key benefits of using CRM.com for e-wallet based loyalty, enterprise subscription and billing, as well as loyalty and promotions can be summarized as follows:</w:t>
      </w:r>
    </w:p>
    <w:p w:rsidR="00000000" w:rsidDel="00000000" w:rsidP="00000000" w:rsidRDefault="00000000" w:rsidRPr="00000000" w14:paraId="0000001A">
      <w:pPr>
        <w:numPr>
          <w:ilvl w:val="0"/>
          <w:numId w:val="6"/>
        </w:numPr>
        <w:pBdr>
          <w:top w:color="e5e7eb" w:space="0" w:sz="0" w:val="none"/>
          <w:left w:color="e5e7eb" w:space="0" w:sz="0" w:val="none"/>
          <w:bottom w:color="e5e7eb" w:space="0" w:sz="0" w:val="none"/>
          <w:right w:color="e5e7eb" w:space="0" w:sz="0" w:val="none"/>
          <w:between w:color="e5e7eb" w:space="0" w:sz="0" w:val="none"/>
        </w:pBdr>
        <w:spacing w:after="0" w:afterAutospacing="0" w:before="120" w:lineRule="auto"/>
        <w:ind w:left="720" w:hanging="360"/>
      </w:pPr>
      <w:r w:rsidDel="00000000" w:rsidR="00000000" w:rsidRPr="00000000">
        <w:rPr>
          <w:rFonts w:ascii="Roboto" w:cs="Roboto" w:eastAsia="Roboto" w:hAnsi="Roboto"/>
          <w:color w:val="13343b"/>
          <w:sz w:val="24"/>
          <w:szCs w:val="24"/>
          <w:shd w:fill="fcfcf9" w:val="clear"/>
          <w:rtl w:val="0"/>
        </w:rPr>
        <w:t xml:space="preserve">Enhanced Customer Loyalty: CRM.com's software solutions enable businesses to implement e-wallet based loyalty programs, fostering greater customer loyalty and long-term relationships.</w:t>
      </w:r>
    </w:p>
    <w:p w:rsidR="00000000" w:rsidDel="00000000" w:rsidP="00000000" w:rsidRDefault="00000000" w:rsidRPr="00000000" w14:paraId="0000001B">
      <w:pPr>
        <w:numPr>
          <w:ilvl w:val="0"/>
          <w:numId w:val="6"/>
        </w:numPr>
        <w:pBdr>
          <w:top w:color="e5e7eb" w:space="0" w:sz="0" w:val="none"/>
          <w:left w:color="e5e7eb" w:space="0" w:sz="0" w:val="none"/>
          <w:bottom w:color="e5e7eb" w:space="0" w:sz="0" w:val="none"/>
          <w:right w:color="e5e7eb" w:space="0" w:sz="0" w:val="none"/>
          <w:between w:color="e5e7eb" w:space="0" w:sz="0" w:val="none"/>
        </w:pBdr>
        <w:spacing w:after="0" w:afterAutospacing="0" w:before="0" w:beforeAutospacing="0" w:lineRule="auto"/>
        <w:ind w:left="720" w:hanging="360"/>
      </w:pPr>
      <w:r w:rsidDel="00000000" w:rsidR="00000000" w:rsidRPr="00000000">
        <w:rPr>
          <w:rFonts w:ascii="Roboto" w:cs="Roboto" w:eastAsia="Roboto" w:hAnsi="Roboto"/>
          <w:color w:val="13343b"/>
          <w:sz w:val="24"/>
          <w:szCs w:val="24"/>
          <w:shd w:fill="fcfcf9" w:val="clear"/>
          <w:rtl w:val="0"/>
        </w:rPr>
        <w:t xml:space="preserve">Enterprise Subscription and Billing: The software facilitates seamless enterprise subscription and billing management, streamlining operations and enhancing customer experiences.</w:t>
      </w:r>
    </w:p>
    <w:p w:rsidR="00000000" w:rsidDel="00000000" w:rsidP="00000000" w:rsidRDefault="00000000" w:rsidRPr="00000000" w14:paraId="0000001C">
      <w:pPr>
        <w:numPr>
          <w:ilvl w:val="0"/>
          <w:numId w:val="6"/>
        </w:numPr>
        <w:pBdr>
          <w:top w:color="e5e7eb" w:space="0" w:sz="0" w:val="none"/>
          <w:left w:color="e5e7eb" w:space="0" w:sz="0" w:val="none"/>
          <w:bottom w:color="e5e7eb" w:space="0" w:sz="0" w:val="none"/>
          <w:right w:color="e5e7eb" w:space="0" w:sz="0" w:val="none"/>
          <w:between w:color="e5e7eb" w:space="0" w:sz="0" w:val="none"/>
        </w:pBdr>
        <w:spacing w:after="0" w:afterAutospacing="0" w:before="0" w:beforeAutospacing="0" w:lineRule="auto"/>
        <w:ind w:left="720" w:hanging="360"/>
      </w:pPr>
      <w:r w:rsidDel="00000000" w:rsidR="00000000" w:rsidRPr="00000000">
        <w:rPr>
          <w:rFonts w:ascii="Roboto" w:cs="Roboto" w:eastAsia="Roboto" w:hAnsi="Roboto"/>
          <w:color w:val="13343b"/>
          <w:sz w:val="24"/>
          <w:szCs w:val="24"/>
          <w:shd w:fill="fcfcf9" w:val="clear"/>
          <w:rtl w:val="0"/>
        </w:rPr>
        <w:t xml:space="preserve">Promotions and Marketing: CRM.com's solutions provide tools for effective promotions and marketing strategies, allowing businesses to attract new customers and drive engagement.</w:t>
      </w:r>
    </w:p>
    <w:p w:rsidR="00000000" w:rsidDel="00000000" w:rsidP="00000000" w:rsidRDefault="00000000" w:rsidRPr="00000000" w14:paraId="0000001D">
      <w:pPr>
        <w:numPr>
          <w:ilvl w:val="0"/>
          <w:numId w:val="6"/>
        </w:numPr>
        <w:pBdr>
          <w:top w:color="e5e7eb" w:space="0" w:sz="0" w:val="none"/>
          <w:left w:color="e5e7eb" w:space="0" w:sz="0" w:val="none"/>
          <w:bottom w:color="e5e7eb" w:space="0" w:sz="0" w:val="none"/>
          <w:right w:color="e5e7eb" w:space="0" w:sz="0" w:val="none"/>
          <w:between w:color="e5e7eb" w:space="0" w:sz="0" w:val="none"/>
        </w:pBdr>
        <w:spacing w:after="0" w:afterAutospacing="0" w:before="0" w:beforeAutospacing="0" w:lineRule="auto"/>
        <w:ind w:left="720" w:hanging="360"/>
      </w:pPr>
      <w:r w:rsidDel="00000000" w:rsidR="00000000" w:rsidRPr="00000000">
        <w:rPr>
          <w:rFonts w:ascii="Roboto" w:cs="Roboto" w:eastAsia="Roboto" w:hAnsi="Roboto"/>
          <w:color w:val="13343b"/>
          <w:sz w:val="24"/>
          <w:szCs w:val="24"/>
          <w:shd w:fill="fcfcf9" w:val="clear"/>
          <w:rtl w:val="0"/>
        </w:rPr>
        <w:t xml:space="preserve">Identity Management: The software offers robust identity management capabilities, ensuring secure and personalized interactions with customers.</w:t>
      </w:r>
    </w:p>
    <w:p w:rsidR="00000000" w:rsidDel="00000000" w:rsidP="00000000" w:rsidRDefault="00000000" w:rsidRPr="00000000" w14:paraId="0000001E">
      <w:pPr>
        <w:numPr>
          <w:ilvl w:val="0"/>
          <w:numId w:val="6"/>
        </w:numPr>
        <w:pBdr>
          <w:top w:color="e5e7eb" w:space="0" w:sz="0" w:val="none"/>
          <w:left w:color="e5e7eb" w:space="0" w:sz="0" w:val="none"/>
          <w:bottom w:color="e5e7eb" w:space="0" w:sz="0" w:val="none"/>
          <w:right w:color="e5e7eb" w:space="0" w:sz="0" w:val="none"/>
          <w:between w:color="e5e7eb" w:space="0" w:sz="0" w:val="none"/>
        </w:pBdr>
        <w:spacing w:after="120" w:before="0" w:beforeAutospacing="0" w:lineRule="auto"/>
        <w:ind w:left="720" w:hanging="360"/>
      </w:pPr>
      <w:r w:rsidDel="00000000" w:rsidR="00000000" w:rsidRPr="00000000">
        <w:rPr>
          <w:rFonts w:ascii="Roboto" w:cs="Roboto" w:eastAsia="Roboto" w:hAnsi="Roboto"/>
          <w:color w:val="13343b"/>
          <w:sz w:val="24"/>
          <w:szCs w:val="24"/>
          <w:shd w:fill="fcfcf9" w:val="clear"/>
          <w:rtl w:val="0"/>
        </w:rPr>
        <w:t xml:space="preserve">Data-Driven Insights: CRM.com's analytics capabilities provide valuable insights into customer behavior and preferences, empowering data-driven decision-making and strategy development.</w:t>
      </w:r>
    </w:p>
    <w:p w:rsidR="00000000" w:rsidDel="00000000" w:rsidP="00000000" w:rsidRDefault="00000000" w:rsidRPr="00000000" w14:paraId="0000001F">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Core industries served: Triple Play &amp; ISPs, Energy, IoT, and Retail / HORECA, addressing unique needs and challenges within these sectors.</w:t>
      </w:r>
    </w:p>
    <w:p w:rsidR="00000000" w:rsidDel="00000000" w:rsidP="00000000" w:rsidRDefault="00000000" w:rsidRPr="00000000" w14:paraId="00000020">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21">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PAGE 4:  STRATEGY, CHANGE MANAGEMENT, Process optimization, Data Analytics/Dashboards, Security, Scorecards, Automation with AI -- arrange in categories for me to add text describing each service</w:t>
      </w:r>
    </w:p>
    <w:p w:rsidR="00000000" w:rsidDel="00000000" w:rsidP="00000000" w:rsidRDefault="00000000" w:rsidRPr="00000000" w14:paraId="00000022">
      <w:pPr>
        <w:rPr>
          <w:rFonts w:ascii="Roboto" w:cs="Roboto" w:eastAsia="Roboto" w:hAnsi="Roboto"/>
          <w:color w:val="13343b"/>
          <w:sz w:val="24"/>
          <w:szCs w:val="24"/>
        </w:rPr>
      </w:pPr>
      <w:r w:rsidDel="00000000" w:rsidR="00000000" w:rsidRPr="00000000">
        <w:rPr>
          <w:rtl w:val="0"/>
        </w:rPr>
      </w:r>
    </w:p>
    <w:p w:rsidR="00000000" w:rsidDel="00000000" w:rsidP="00000000" w:rsidRDefault="00000000" w:rsidRPr="00000000" w14:paraId="00000023">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2. Value Proposition</w:t>
      </w:r>
    </w:p>
    <w:p w:rsidR="00000000" w:rsidDel="00000000" w:rsidP="00000000" w:rsidRDefault="00000000" w:rsidRPr="00000000" w14:paraId="00000024">
      <w:pPr>
        <w:numPr>
          <w:ilvl w:val="0"/>
          <w:numId w:val="4"/>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Highlight the company's ability to align and implement information technology assets to support business strategy and goals.  </w:t>
      </w:r>
    </w:p>
    <w:p w:rsidR="00000000" w:rsidDel="00000000" w:rsidP="00000000" w:rsidRDefault="00000000" w:rsidRPr="00000000" w14:paraId="00000025">
      <w:pPr>
        <w:numPr>
          <w:ilvl w:val="0"/>
          <w:numId w:val="4"/>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While we primarily focus on Private equity firms, we also provide assessments, alignment and wisdom to companies ranging from startups to global enterprises.</w:t>
      </w:r>
    </w:p>
    <w:p w:rsidR="00000000" w:rsidDel="00000000" w:rsidP="00000000" w:rsidRDefault="00000000" w:rsidRPr="00000000" w14:paraId="00000026">
      <w:pPr>
        <w:numPr>
          <w:ilvl w:val="0"/>
          <w:numId w:val="4"/>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Emphasize the value of increasing EBITDA through innovation and digital transformation.</w:t>
      </w:r>
    </w:p>
    <w:p w:rsidR="00000000" w:rsidDel="00000000" w:rsidP="00000000" w:rsidRDefault="00000000" w:rsidRPr="00000000" w14:paraId="00000027">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3. Core Service Sections</w:t>
      </w:r>
    </w:p>
    <w:p w:rsidR="00000000" w:rsidDel="00000000" w:rsidP="00000000" w:rsidRDefault="00000000" w:rsidRPr="00000000" w14:paraId="00000028">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Digital Transformation, (Automation/AI,  process optimization)</w:t>
      </w:r>
    </w:p>
    <w:p w:rsidR="00000000" w:rsidDel="00000000" w:rsidP="00000000" w:rsidRDefault="00000000" w:rsidRPr="00000000" w14:paraId="00000029">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Strategy</w:t>
      </w:r>
    </w:p>
    <w:p w:rsidR="00000000" w:rsidDel="00000000" w:rsidP="00000000" w:rsidRDefault="00000000" w:rsidRPr="00000000" w14:paraId="0000002A">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Change Management</w:t>
      </w:r>
    </w:p>
    <w:p w:rsidR="00000000" w:rsidDel="00000000" w:rsidP="00000000" w:rsidRDefault="00000000" w:rsidRPr="00000000" w14:paraId="0000002B">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CRM and ERP Solutions</w:t>
      </w:r>
    </w:p>
    <w:p w:rsidR="00000000" w:rsidDel="00000000" w:rsidP="00000000" w:rsidRDefault="00000000" w:rsidRPr="00000000" w14:paraId="0000002C">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Data Analytics</w:t>
      </w:r>
    </w:p>
    <w:p w:rsidR="00000000" w:rsidDel="00000000" w:rsidP="00000000" w:rsidRDefault="00000000" w:rsidRPr="00000000" w14:paraId="0000002D">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PE/Venture due diligence, Carve-outs, Integrations etc.</w:t>
      </w:r>
    </w:p>
    <w:p w:rsidR="00000000" w:rsidDel="00000000" w:rsidP="00000000" w:rsidRDefault="00000000" w:rsidRPr="00000000" w14:paraId="0000002E">
      <w:pPr>
        <w:numPr>
          <w:ilvl w:val="0"/>
          <w:numId w:val="11"/>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Risk Mitigation and Security</w:t>
      </w:r>
    </w:p>
    <w:p w:rsidR="00000000" w:rsidDel="00000000" w:rsidP="00000000" w:rsidRDefault="00000000" w:rsidRPr="00000000" w14:paraId="0000002F">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4. Engaging Content</w:t>
      </w:r>
    </w:p>
    <w:p w:rsidR="00000000" w:rsidDel="00000000" w:rsidP="00000000" w:rsidRDefault="00000000" w:rsidRPr="00000000" w14:paraId="00000030">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Provide detailed content for each core service section, focusing on the benefits and value delivered to potential customers.</w:t>
      </w:r>
    </w:p>
    <w:p w:rsidR="00000000" w:rsidDel="00000000" w:rsidP="00000000" w:rsidRDefault="00000000" w:rsidRPr="00000000" w14:paraId="00000031">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Use engaging visuals and clear messaging to convey the company's expertise and the impact of its services.</w:t>
      </w:r>
    </w:p>
    <w:p w:rsidR="00000000" w:rsidDel="00000000" w:rsidP="00000000" w:rsidRDefault="00000000" w:rsidRPr="00000000" w14:paraId="00000032">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5. Call-to-Action</w:t>
      </w:r>
    </w:p>
    <w:p w:rsidR="00000000" w:rsidDel="00000000" w:rsidP="00000000" w:rsidRDefault="00000000" w:rsidRPr="00000000" w14:paraId="00000033">
      <w:pPr>
        <w:numPr>
          <w:ilvl w:val="0"/>
          <w:numId w:val="7"/>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Encourage visitors to learn more about the company's services and expertise.</w:t>
      </w:r>
    </w:p>
    <w:p w:rsidR="00000000" w:rsidDel="00000000" w:rsidP="00000000" w:rsidRDefault="00000000" w:rsidRPr="00000000" w14:paraId="00000034">
      <w:pPr>
        <w:numPr>
          <w:ilvl w:val="0"/>
          <w:numId w:val="7"/>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Prompt visitors to schedule a consultation or FREE assessment to explore how Deltalyfe's solutions can benefit their business.</w:t>
      </w:r>
    </w:p>
    <w:p w:rsidR="00000000" w:rsidDel="00000000" w:rsidP="00000000" w:rsidRDefault="00000000" w:rsidRPr="00000000" w14:paraId="00000035">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6. Modern and Professional Design</w:t>
      </w:r>
    </w:p>
    <w:p w:rsidR="00000000" w:rsidDel="00000000" w:rsidP="00000000" w:rsidRDefault="00000000" w:rsidRPr="00000000" w14:paraId="00000036">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Ensure a modern and professional design that conveys trust, reliability, and innovation.</w:t>
      </w:r>
    </w:p>
    <w:p w:rsidR="00000000" w:rsidDel="00000000" w:rsidP="00000000" w:rsidRDefault="00000000" w:rsidRPr="00000000" w14:paraId="00000037">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Optimize the website for search engines and mobile devices to ensure accessibility and user-friendliness.</w:t>
      </w:r>
    </w:p>
    <w:p w:rsidR="00000000" w:rsidDel="00000000" w:rsidP="00000000" w:rsidRDefault="00000000" w:rsidRPr="00000000" w14:paraId="00000038">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7. Brand Engagement</w:t>
      </w:r>
    </w:p>
    <w:p w:rsidR="00000000" w:rsidDel="00000000" w:rsidP="00000000" w:rsidRDefault="00000000" w:rsidRPr="00000000" w14:paraId="00000039">
      <w:pPr>
        <w:numPr>
          <w:ilvl w:val="0"/>
          <w:numId w:val="8"/>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hanging="360"/>
      </w:pPr>
      <w:r w:rsidDel="00000000" w:rsidR="00000000" w:rsidRPr="00000000">
        <w:rPr>
          <w:rFonts w:ascii="Roboto" w:cs="Roboto" w:eastAsia="Roboto" w:hAnsi="Roboto"/>
          <w:color w:val="13343b"/>
          <w:sz w:val="24"/>
          <w:szCs w:val="24"/>
          <w:rtl w:val="0"/>
        </w:rPr>
        <w:t xml:space="preserve">Create a brand that resonates with startups, private equity firms, and large corporate enterprises, showcasing Deltalyfe's ability to effectively align people, processes and systems to deliver collaboration, transparency, knowledge sharing and long term value to the enterprise.</w:t>
      </w:r>
    </w:p>
    <w:p w:rsidR="00000000" w:rsidDel="00000000" w:rsidP="00000000" w:rsidRDefault="00000000" w:rsidRPr="00000000" w14:paraId="0000003A">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8. Positive and Collaborative Messaging</w:t>
      </w:r>
    </w:p>
    <w:p w:rsidR="00000000" w:rsidDel="00000000" w:rsidP="00000000" w:rsidRDefault="00000000" w:rsidRPr="00000000" w14:paraId="0000003B">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hanging="360"/>
      </w:pPr>
      <w:r w:rsidDel="00000000" w:rsidR="00000000" w:rsidRPr="00000000">
        <w:rPr>
          <w:rFonts w:ascii="Roboto" w:cs="Roboto" w:eastAsia="Roboto" w:hAnsi="Roboto"/>
          <w:color w:val="13343b"/>
          <w:sz w:val="24"/>
          <w:szCs w:val="24"/>
          <w:rtl w:val="0"/>
        </w:rPr>
        <w:t xml:space="preserve">Convey a positive and collaborative message that emphasizes the company's ability to convert problems into opportunities and align and utilize all IT assets so you quickly achieve business goals and generate efficiency and higher EBITDA.</w:t>
      </w:r>
    </w:p>
    <w:p w:rsidR="00000000" w:rsidDel="00000000" w:rsidP="00000000" w:rsidRDefault="00000000" w:rsidRPr="00000000" w14:paraId="0000003C">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9. Client Success Stories</w:t>
      </w:r>
    </w:p>
    <w:p w:rsidR="00000000" w:rsidDel="00000000" w:rsidP="00000000" w:rsidRDefault="00000000" w:rsidRPr="00000000" w14:paraId="0000003D">
      <w:pPr>
        <w:numPr>
          <w:ilvl w:val="0"/>
          <w:numId w:val="12"/>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hanging="360"/>
      </w:pPr>
      <w:r w:rsidDel="00000000" w:rsidR="00000000" w:rsidRPr="00000000">
        <w:rPr>
          <w:rFonts w:ascii="Roboto" w:cs="Roboto" w:eastAsia="Roboto" w:hAnsi="Roboto"/>
          <w:color w:val="13343b"/>
          <w:sz w:val="24"/>
          <w:szCs w:val="24"/>
          <w:rtl w:val="0"/>
        </w:rPr>
        <w:t xml:space="preserve">We have case studies and success stories delivering innovative solutions, increasing EBITDA and driving digital transformations for businesses.</w:t>
      </w:r>
    </w:p>
    <w:p w:rsidR="00000000" w:rsidDel="00000000" w:rsidP="00000000" w:rsidRDefault="00000000" w:rsidRPr="00000000" w14:paraId="0000003E">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10. Navigation and Contact Information</w:t>
      </w:r>
    </w:p>
    <w:p w:rsidR="00000000" w:rsidDel="00000000" w:rsidP="00000000" w:rsidRDefault="00000000" w:rsidRPr="00000000" w14:paraId="0000003F">
      <w:pPr>
        <w:numPr>
          <w:ilvl w:val="0"/>
          <w:numId w:val="9"/>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Ensure easy navigation with a clear menu structure.</w:t>
      </w:r>
    </w:p>
    <w:p w:rsidR="00000000" w:rsidDel="00000000" w:rsidP="00000000" w:rsidRDefault="00000000" w:rsidRPr="00000000" w14:paraId="00000040">
      <w:pPr>
        <w:numPr>
          <w:ilvl w:val="0"/>
          <w:numId w:val="9"/>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Provide contact information and a LinkedIn link for further engagement.</w:t>
      </w:r>
    </w:p>
    <w:p w:rsidR="00000000" w:rsidDel="00000000" w:rsidP="00000000" w:rsidRDefault="00000000" w:rsidRPr="00000000" w14:paraId="00000041">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By incorporating these requirements, the website design for Deltalyfe will effectively communicate the company's value proposition, expertise, and ability to engage and serve startups, private equity firms, and large corporate enterprises in the telecommunications sector.</w:t>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Roboto" w:cs="Roboto" w:eastAsia="Roboto" w:hAnsi="Roboto"/>
        <w:color w:val="13343b"/>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rFonts w:ascii="Roboto" w:cs="Roboto" w:eastAsia="Roboto" w:hAnsi="Roboto"/>
        <w:color w:val="13343b"/>
        <w:sz w:val="24"/>
        <w:szCs w:val="24"/>
        <w:u w:val="none"/>
        <w:shd w:fill="fcfcf9" w:val="clear"/>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Roboto" w:cs="Roboto" w:eastAsia="Roboto" w:hAnsi="Roboto"/>
        <w:color w:val="13343b"/>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